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الكنية للصبيّ-كتاب الأدب-صحيح البخاري — رقم الحديث: 6203 — الرقم الفرعي: 99 — الرقم الأصلي: 6203</w:t>
        <w:br/>
      </w:r>
      <w:r>
        <w:rPr>
          <w:rtl w:val="1"/>
        </w:rPr>
        <w:t xml:space="preserve"> حدثنا مُسَدّد حدثنا عبد الوارث عن أبي التياح عن أنس</w:t>
        <w:br/>
      </w:r>
      <w:r>
        <w:rPr>
          <w:color w:val="000000"/>
          <w:rtl w:val="1"/>
        </w:rPr>
        <w:t xml:space="preserve">قال: كان النبيُّ ﷺ أحسَنَ النّاس خُلُقًا،  </w:t>
      </w:r>
      <w:r>
        <w:rPr>
          <w:color w:val="FF0000"/>
          <w:rtl w:val="1"/>
        </w:rPr>
        <w:t xml:space="preserve">وكان لي أخٌ يُقالُ له: أبو عُمَيرٍ، قال: أحسِبُه فَطِيمٌ، وكان إذا جاءَ قال: «يا أبا عُمَيْر، ما فعَلَ النُّغَيْر؟» نُغَرٌ كان يَلْعَبُ به.  </w:t>
      </w:r>
      <w:r>
        <w:rPr>
          <w:color w:val="000000"/>
          <w:rtl w:val="1"/>
        </w:rPr>
        <w:t xml:space="preserve">فربَّما حَضَرَ الصلاةَ وهو في بيتِنا  </w:t>
      </w:r>
      <w:r>
        <w:rPr>
          <w:color w:val="FF0000"/>
          <w:rtl w:val="1"/>
        </w:rPr>
        <w:t xml:space="preserve">فيأمُرُ بالبِساط الَّذي تحتَه، فيُكنَسُ ويُنْضَحُ،  </w:t>
      </w:r>
      <w:r>
        <w:rPr>
          <w:color w:val="FF0000"/>
          <w:rtl w:val="1"/>
        </w:rPr>
        <w:t xml:space="preserve">ثمَّ يَقُومُ ونقومُ خَلْفَه فيُصلِّي بنا. </w:t>
      </w:r>
    </w:p>
    <w:p>
      <w:pPr>
        <w:bidi w:val="1"/>
        <w:jc w:val="start"/>
      </w:pPr>
      <w:r>
        <w:rPr>
          <w:rtl w:val="1"/>
        </w:rPr>
        <w:t>الشرح: الدلالة: قيمة نظافة المساجد والأماكن العامة - قيم النظافة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الصغار - مزاحه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