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الأمر والنهي-كتاب الملاحم-سنن أبي داود — رقم الحديث: 4336 — الرقم الفرعي: 99 — الرقم الأصلي: 4336</w:t>
        <w:br/>
      </w:r>
      <w:r>
        <w:rPr>
          <w:rtl w:val="1"/>
        </w:rPr>
        <w:t xml:space="preserve"> حدثنا عبد الله بن محمد النُّفَيْليّ ثنا يونس بن راشد عن عليّ بن بذيمة عن أبي عبيدة عن عبد الله بن مسعود قال:قال رسول الله صلى الله عليه وسلم</w:t>
        <w:br/>
      </w:r>
      <w:r>
        <w:rPr>
          <w:color w:val="FF0000"/>
          <w:rtl w:val="1"/>
        </w:rPr>
        <w:t xml:space="preserve">«إنَّ أوّل ما دَخَلَ النَّقصُ على بني إسرائيلَ كان الرَّجلُ يَلقَى الرَّجلَ فيقول: يا هذا اتَّقِ اللهَ ودَعْ ما تَصنَعُ، فإنّه لا يَحِلُّ لك، ثم يَلقاهُ من الغدِ، فلا يَمنعُهُ ذلك أن يكونَ أكِيلَهُ وشَرِيبَهُ وقَعِيدَهُ،  </w:t>
      </w:r>
      <w:r>
        <w:rPr>
          <w:color w:val="FF0000"/>
          <w:rtl w:val="1"/>
        </w:rPr>
        <w:t xml:space="preserve">فلمَّا فعلوا ذلك ضَرَبَ الله قلوبَ بعضِهِم ببعض»  </w:t>
      </w:r>
      <w:r>
        <w:rPr>
          <w:color w:val="FF0000"/>
          <w:rtl w:val="1"/>
        </w:rPr>
        <w:t xml:space="preserve">ثم قال: {لُعِنَ الَّذِينَ كَفَرُوا مِنْ بَنِي إِسْرَائِيلَ عَلَى لِسَانِ دَاوُودَ وَعِيسَى ابْنِ مَريَمَ} إلى قوله: {فاسِقُونَ} [المائدة: 78-٨١]،  </w:t>
      </w:r>
      <w:r>
        <w:rPr>
          <w:color w:val="FF0000"/>
          <w:rtl w:val="1"/>
        </w:rPr>
        <w:t xml:space="preserve">«كلَّا واللهِ، لتأمُرُنَّ بالمعروف ولتَنهَوُنَّ عن المُنكَر،  </w:t>
      </w:r>
      <w:r>
        <w:rPr>
          <w:color w:val="FF0000"/>
          <w:rtl w:val="1"/>
        </w:rPr>
        <w:t xml:space="preserve">ولتأخُذُنَّ على يدَي الظَّالِم، ولتأطُرُنَّه على الحَقِّ أطْرًا، ولتقصُرُنَّه على الحقِّ قَصْرًا».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اليهود</w:t>
      </w:r>
    </w:p>
    <w:p>
      <w:pPr>
        <w:bidi w:val="1"/>
        <w:jc w:val="start"/>
      </w:pPr>
      <w:r>
        <w:rPr>
          <w:rtl w:val="1"/>
        </w:rPr>
        <w:t>الشرح: الدلالة: إيثار الدنيا على الآخرة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آداب الدعوة والأمر بالمعروف والنهي عن المنكر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الضوابط التشريعية(الأحكام الشرعية) -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إلزامية الدستور للحكام والمحكومين - الدستور</w:t>
      </w:r>
    </w:p>
    <w:p>
      <w:pPr>
        <w:bidi w:val="1"/>
        <w:jc w:val="start"/>
      </w:pPr>
      <w:r>
        <w:rPr>
          <w:rtl w:val="1"/>
        </w:rPr>
        <w:t>الشرح: الدلالة: صفات اليهود - اليهود</w:t>
      </w:r>
    </w:p>
    <w:p>
      <w:pPr>
        <w:bidi w:val="1"/>
        <w:jc w:val="start"/>
      </w:pPr>
      <w:r>
        <w:rPr>
          <w:rtl w:val="1"/>
        </w:rPr>
        <w:t>الشرح: الدلالة: متفرقات في اليهود - اليهود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تطبيق أحكام الإسلام والمحافظة على الدين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وجوب الأمر بالمعروف والنهي عن المنكر</w:t>
      </w:r>
    </w:p>
    <w:p>
      <w:pPr>
        <w:bidi w:val="1"/>
        <w:jc w:val="start"/>
      </w:pPr>
      <w:r>
        <w:rPr>
          <w:rtl w:val="1"/>
        </w:rPr>
        <w:t>الشرح: الدلالة: حكم تعطيل الأمر بالمعروف والنهي عن المنكر والآثار المترتبة على ذلك.</w:t>
      </w:r>
    </w:p>
    <w:p>
      <w:pPr>
        <w:bidi w:val="1"/>
        <w:jc w:val="start"/>
      </w:pPr>
      <w:r>
        <w:rPr>
          <w:rtl w:val="1"/>
        </w:rPr>
        <w:t>الشرح: الدلالة: تغيير المنكر باليد</w:t>
      </w:r>
    </w:p>
    <w:p>
      <w:pPr>
        <w:bidi w:val="1"/>
        <w:jc w:val="start"/>
      </w:pPr>
      <w:r>
        <w:rPr>
          <w:rtl w:val="1"/>
        </w:rPr>
        <w:t>الشرح: الدلالة: تغيير المنكر باللسان</w:t>
      </w:r>
    </w:p>
    <w:p>
      <w:pPr>
        <w:bidi w:val="1"/>
        <w:jc w:val="start"/>
      </w:pPr>
      <w:r>
        <w:rPr>
          <w:rtl w:val="1"/>
        </w:rPr>
        <w:t>الشرح: الدلالة: تغيير المنكر بالقلب</w:t>
      </w:r>
    </w:p>
    <w:p>
      <w:pPr>
        <w:bidi w:val="1"/>
        <w:jc w:val="start"/>
      </w:pPr>
      <w:r>
        <w:rPr>
          <w:rtl w:val="1"/>
        </w:rPr>
        <w:t>الشرح: الدلالة: أسلوب الهجر والمقاطعة  لأهل المنكر  ومواطن المنكر</w:t>
      </w:r>
    </w:p>
    <w:p>
      <w:pPr>
        <w:bidi w:val="1"/>
        <w:jc w:val="start"/>
      </w:pPr>
      <w:r>
        <w:rPr>
          <w:rtl w:val="1"/>
        </w:rPr>
        <w:t>الشرح: الدلالة: أسلوب إظهار الغضب والكراهية لفعل المنكر</w:t>
      </w:r>
    </w:p>
    <w:p>
      <w:pPr>
        <w:bidi w:val="1"/>
        <w:jc w:val="start"/>
      </w:pPr>
      <w:r>
        <w:rPr>
          <w:rtl w:val="1"/>
        </w:rPr>
        <w:t>الشرح: الدلالة: قيمة المسؤولية العامة - قيم المسؤولية</w:t>
      </w:r>
    </w:p>
    <w:p>
      <w:pPr>
        <w:bidi w:val="1"/>
        <w:jc w:val="start"/>
      </w:pPr>
      <w:r>
        <w:rPr>
          <w:rtl w:val="1"/>
        </w:rPr>
        <w:t>الشرح: الدلالة: إمارة المحتسب - انواع الإمارة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