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الأمر والنهي-كتاب الملاحم-سنن أبي داود — رقم الحديث: 4345 — الرقم الفرعي: 99 — الرقم الأصلي: 4345</w:t>
        <w:br/>
      </w:r>
      <w:r>
        <w:rPr>
          <w:rtl w:val="1"/>
        </w:rPr>
        <w:t xml:space="preserve"> حدثنا محمد بن العلاء أخبرنا أبو بكر ثنا مغيرة بن زياد الموصليّ عن عدي بن عدي عن العرس بن عميرة الكِنديّ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عُمِلَت الخطيئةُ في الأرض كان من شَهِدها فكَرهَها - وقال مرةً: فأنكَرَها - كان كمَن غابَ عنها،  </w:t>
      </w:r>
      <w:r>
        <w:rPr>
          <w:color w:val="FF0000"/>
          <w:rtl w:val="1"/>
        </w:rPr>
        <w:t xml:space="preserve">ومن غابَ عنها فَرضِيها كان كمَن شَهِدها».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تعطيل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قيمة الأمر بالمعروف والنهي عن المنكر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تغيير المنكر بالقلب</w:t>
      </w:r>
    </w:p>
    <w:p>
      <w:pPr>
        <w:bidi w:val="1"/>
        <w:jc w:val="start"/>
      </w:pPr>
      <w:r>
        <w:rPr>
          <w:rtl w:val="1"/>
        </w:rPr>
        <w:t>الشرح: الدلالة: أسلوب الهجر والمقاطعة  لأهل المنكر  ومواطن المنكر</w:t>
      </w:r>
    </w:p>
    <w:p>
      <w:pPr>
        <w:bidi w:val="1"/>
        <w:jc w:val="start"/>
      </w:pPr>
      <w:r>
        <w:rPr>
          <w:rtl w:val="1"/>
        </w:rPr>
        <w:t>الشرح: الدلالة: أسلوب إظهار الغضب والكراهية لفعل المنكر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