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التخلّي عند قضاء الحاجة .-كتاب الطهارة-سنن أبي داود — رقم الحديث: 2 — الرقم الفرعي: 99 — الرقم الأصلي: 2</w:t>
        <w:br/>
      </w:r>
      <w:r>
        <w:rPr>
          <w:rtl w:val="1"/>
        </w:rPr>
        <w:t xml:space="preserve"> حدثنا مُسدّد بن مُسرهَد ثنا عيسى بن يونس أخبرنا إسماعيل بن عبد الملك عن أبي الزبير عن جابر بن عبد الله</w:t>
        <w:br/>
      </w:r>
      <w:r>
        <w:rPr>
          <w:color w:val="FF0000"/>
          <w:rtl w:val="1"/>
        </w:rPr>
        <w:t xml:space="preserve">أنَّ النبيَّ ﷺ كان إذا أرادَ البَرازَ، انطلَقَ حتَّى لا يَراه أحَدٌ.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 xml:space="preserve">الشرح: الدلالة: حياؤه ﷺ عند قضاء حاجته - حياء النبي ﷺ وعفته 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