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 وجوهٌ يومئذٍ ناضرة إلى ربها ناظرة-كتاب التوحيد-صحيح البخاري — رقم الحديث: 7447 — الرقم الفرعي: 99 — الرقم الأصلي: 7447</w:t>
        <w:br/>
      </w:r>
      <w:r>
        <w:rPr>
          <w:rtl w:val="1"/>
        </w:rPr>
        <w:t xml:space="preserve"> حدثنا محمد بن المثنى حدثنا عبد الوهاب حدثنا أيوب عن محمد عن ابن أبي بكرة عن أبي بكرة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«الزَّمانُ قَدِ استَدارَ كهَيئَتِه يومَ خَلَقَ اللهُ السَّماواتِ والأرضَ،  </w:t>
      </w:r>
      <w:r>
        <w:rPr>
          <w:color w:val="FF0000"/>
          <w:rtl w:val="1"/>
        </w:rPr>
        <w:t xml:space="preserve">السَّنةُ اثنا عَشَرَ شَهْراً، منها أربَعةٌ حُرُمٌ، ثلاثٌ مُتَوالياتٌ: ذُو القَعْدةِ، وذُو الحِجّةِ، والمُحرَّمُ، ورَجَبُ مُضَرَ الَّذي بينَ جُمادَى وشَعْبانَ،  </w:t>
      </w:r>
      <w:r>
        <w:rPr>
          <w:color w:val="FF0000"/>
          <w:rtl w:val="1"/>
        </w:rPr>
        <w:t xml:space="preserve">أيُّ شَهْرٍ هذا؟» قلنا: الله ورسولُه أعلَمُ، فسَكَتَ حتَّى ظننَّا أنَّه يُسمِّيه بغيرِ اسمِه، قال: «أليس ذا الحِجّةِ؟» قلنا: بَلَى،  </w:t>
      </w:r>
      <w:r>
        <w:rPr>
          <w:color w:val="FF0000"/>
          <w:rtl w:val="1"/>
        </w:rPr>
        <w:t xml:space="preserve">قال: «أيُّ بَلَدٍ هذا؟» قلنا: اللهُ ورسولُه أعلَمُ، فسَكَتَ حتَّى ظننَّا أنَّه سيُسمِّيه بغيرِ اسمِه، قال: «أليسَ البَلْدةَ؟» قلنا: بَلَى،  </w:t>
      </w:r>
      <w:r>
        <w:rPr>
          <w:color w:val="FF0000"/>
          <w:rtl w:val="1"/>
        </w:rPr>
        <w:t xml:space="preserve">قال: «فأيُّ يومٍ هذا؟» قلنا: اللهُ ورسولُه أعلَمُ، فسَكَتَ حتَّى ظننَّا أنَّه سيُسمِّيه بغيرِ اسمِه، قال: «أليس يومَ النَّحْرِ؟» قلنا: بَلَى،  </w:t>
      </w:r>
      <w:r>
        <w:rPr>
          <w:color w:val="FF0000"/>
          <w:rtl w:val="1"/>
        </w:rPr>
        <w:t xml:space="preserve">قال: «فإنَّ دِماءَكم وأموالَكم - قال محمَّدٌ: وأحسِبُه قال: وأعراضَكم - عليكم حَرَامٌ كحُرْمةِ يومِكم هذا، في بَلَدِكم هذا، في شهرِكم هذا،  </w:t>
      </w:r>
      <w:r>
        <w:rPr>
          <w:color w:val="FF0000"/>
          <w:rtl w:val="1"/>
        </w:rPr>
        <w:t xml:space="preserve">وسَتَلْقَوْنَ رَبَّكم فيَسْألُكم عن أعمالِكُم،  </w:t>
      </w:r>
      <w:r>
        <w:rPr>
          <w:color w:val="FF0000"/>
          <w:rtl w:val="1"/>
        </w:rPr>
        <w:t xml:space="preserve">ألا فلا تَرْجِعُوا بَعْدي ضُلّالًا يَضرِبُ بعضُكم رِقابَ بعضٍ،  </w:t>
      </w:r>
      <w:r>
        <w:rPr>
          <w:color w:val="FF0000"/>
          <w:rtl w:val="1"/>
        </w:rPr>
        <w:t xml:space="preserve">ألا لِيُبْلِغِ الشّاهدُ الغائبَ، فلَعَلَّ بعضَ مَن يَبلُغُه أنْ يكونَ أوعَى من بعضِ مَن سَمِعَه». </w:t>
      </w:r>
      <w:r>
        <w:rPr>
          <w:color w:val="FF0000"/>
          <w:rtl w:val="1"/>
        </w:rPr>
        <w:t xml:space="preserve">فكان محمَّدٌ إذا ذَكَرَه قال: صَدَقَ النبيُّ ﷺ. </w:t>
      </w:r>
      <w:r>
        <w:rPr>
          <w:color w:val="FF0000"/>
          <w:rtl w:val="1"/>
        </w:rPr>
        <w:t xml:space="preserve">ثمَّ قال: «ألَا هل بَلَّغْتُ، ألَا هل بَلَّغْتُ؟».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بلاغته ﷺ - فصاحة النبي ﷺ وبلاغته وحلاوة منطقه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