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السير إذا دفع من عرفة-كتاب الحجّ-صحيح البخاري — رقم الحديث: 1666 — الرقم الفرعي: 99 — الرقم الأصلي: 1666</w:t>
        <w:br/>
      </w:r>
      <w:r>
        <w:rPr>
          <w:rtl w:val="1"/>
        </w:rPr>
        <w:t xml:space="preserve"> حدثنا عبد الله بن يوسف أخبرنا مالك عن هشام بن عروة عن أبيه</w:t>
        <w:br/>
      </w:r>
      <w:r>
        <w:rPr>
          <w:color w:val="FF0000"/>
          <w:rtl w:val="1"/>
        </w:rPr>
        <w:t xml:space="preserve">أنَّه قال: سُئِلَ أُسامةُ وأنا جالسٌ: كيفَ كان رسولُ الله ﷺ يسيرُ في حَجّةِ الوَدَاع حينَ دَفَعَ؟ قال: كان يسيرُ العَنَقَ، فإذا وَجَدَ فَجْوةً نَصَّ. </w:t>
      </w:r>
      <w:r>
        <w:rPr>
          <w:color w:val="000000"/>
          <w:rtl w:val="1"/>
        </w:rPr>
        <w:t xml:space="preserve">قال هشامٌ: والنَّصُّ فوقَ العَنَقِ. </w:t>
      </w:r>
      <w:r>
        <w:rPr>
          <w:color w:val="000000"/>
          <w:rtl w:val="1"/>
        </w:rPr>
        <w:t xml:space="preserve">فَجْوةٌ: مُتَّسَعٌ، والجميعُ: فَجَواتٌ وفِجاءٌ، وكذلكَ رَكْوةٌ ورِكاءٌ. </w:t>
      </w:r>
      <w:r>
        <w:rPr>
          <w:color w:val="000000"/>
          <w:rtl w:val="1"/>
        </w:rPr>
        <w:t xml:space="preserve">{مَنَاصٍ} [ص:3] : ليس حينَ فِرَارٍ.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إفاضته ﷺ من عرفة ومبيته بالمزدلفة - حج النبي ﷺ وعمرته 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