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17 — الرقم الفرعي: 99 — الرقم الأصلي: 17</w:t>
        <w:br/>
      </w:r>
      <w:r>
        <w:rPr>
          <w:rtl w:val="1"/>
        </w:rPr>
        <w:t xml:space="preserve"> وحدثني عن مالك أنه بلغه أن عبدالله بن عمر و زيد بن ثابت</w:t>
        <w:br/>
      </w:r>
      <w:r>
        <w:rPr>
          <w:color w:val="000000"/>
          <w:rtl w:val="1"/>
        </w:rPr>
        <w:t xml:space="preserve">كانا يقولان:  </w:t>
      </w:r>
      <w:r>
        <w:rPr>
          <w:color w:val="FF0000"/>
          <w:rtl w:val="1"/>
        </w:rPr>
        <w:t xml:space="preserve">مَن أَدرَكَ الرَّكعةَ فقد أَدرَكَ السَّجْدة. </w:t>
      </w:r>
    </w:p>
    <w:p>
      <w:pPr>
        <w:bidi w:val="1"/>
        <w:jc w:val="start"/>
      </w:pPr>
      <w:r>
        <w:rPr>
          <w:rtl w:val="1"/>
        </w:rPr>
        <w:t>الشرح: الدلالة: حد إدراك الركعة - المسبوق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