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حضر الطعام وأقيمت الصلاة،وكان ابن عمر يبدأ بالعشاء-كتاب الصلاة-صحيح البخاري — رقم الحديث: 673 — الرقم الفرعي: 99 — الرقم الأصلي: 673</w:t>
        <w:br/>
      </w:r>
      <w:r>
        <w:rPr>
          <w:rtl w:val="1"/>
        </w:rPr>
        <w:t xml:space="preserve"> حدثنا عبيد بن إسماعيل عن أبي أسامة عن عبيد الله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«إذا وُضِعَ عَشاءُ أحدِكم وأُقِيمَتِ الصلاةُ فابدَؤُوا بالعَشاءِ، ولا يَعْجَلْ حتَّى يَفرُغَ منه». </w:t>
      </w:r>
      <w:r>
        <w:rPr>
          <w:color w:val="FF0000"/>
          <w:rtl w:val="1"/>
        </w:rPr>
        <w:t xml:space="preserve">وكان ابنُ عمرَ يُوضَعُ له الطَّعامُ وتُقامُ الصلاةُ، فلا يأتيها حتَّى يَفرُغَ، وإنَّه لَيَسمَعُ قراءةَ الإمامِ.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إذا حضر الطعام يقدم الطعام على الصلاة 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