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من فطّر صائماً-أبواب الصوم-سنن الترمذي — رقم الحديث: 807 — الرقم الفرعي: 99 — الرقم الأصلي: 807</w:t>
        <w:br/>
      </w:r>
      <w:r>
        <w:rPr>
          <w:rtl w:val="1"/>
        </w:rPr>
        <w:t xml:space="preserve"> حدثنا هنّاد حدثنا عبد الرحيم عن عبد الملك بن أبي سليمان عن عطاء عن زيد بن خالد الجهنيّ قال:قال رسول الله صلى الله عليه وسلم</w:t>
        <w:br/>
      </w:r>
      <w:r>
        <w:rPr>
          <w:color w:val="FF0000"/>
          <w:rtl w:val="1"/>
        </w:rPr>
        <w:t xml:space="preserve">«مَن فَطَّرَ صائِمًا كانَ لَه مِثلُ أَجرِه، غَيرَ أَنَّه لا يَنْقُص مِن أَجرِ الصائِمِ شَيئًا». </w:t>
      </w:r>
      <w:r>
        <w:rPr>
          <w:color w:val="000000"/>
          <w:rtl w:val="1"/>
        </w:rPr>
        <w:t xml:space="preserve">«هذا حديث حسن صحيح».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