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النزول بذي طُوىً قبل أن يدخل مكّة-كتاب الحجّ-صحيح البخاري — رقم الحديث: 1768 — الرقم الفرعي: 99 — الرقم الأصلي: 1768</w:t>
        <w:br/>
      </w:r>
      <w:r>
        <w:rPr>
          <w:rtl w:val="1"/>
        </w:rPr>
        <w:t xml:space="preserve"> حدثنا عبد الله بن عبد الوهاب حدثنا خالد بن الحارث قال:سئل عبيد الله ملاحظة عن المحصّب فحدثنا عبيدالله عن نافع</w:t>
        <w:br/>
      </w:r>
      <w:r>
        <w:rPr>
          <w:color w:val="FF0000"/>
          <w:rtl w:val="1"/>
        </w:rPr>
        <w:t xml:space="preserve">قال: نَزَلَ بها رسولُ الله ﷺوعمرُ وابنُ عمرَ. </w:t>
      </w:r>
      <w:r>
        <w:rPr>
          <w:color w:val="FF0000"/>
          <w:rtl w:val="1"/>
        </w:rPr>
        <w:t xml:space="preserve">وعن نافعٍ: أنَّ ابنَ عمرَ رضي الله عنهما كان يُصلِّي بها ــ يعني المُحَصَّبَ ــ الظُّهرَ والعصرَ؛ أحسِبُه قال: والمغربَ ــ قال خالدٌ: لا أشُكُّ في العِشاءِ ــ  </w:t>
      </w:r>
      <w:r>
        <w:rPr>
          <w:color w:val="FF0000"/>
          <w:rtl w:val="1"/>
        </w:rPr>
        <w:t xml:space="preserve">ويَهْجَعُ هَجْعةً،  </w:t>
      </w:r>
      <w:r>
        <w:rPr>
          <w:color w:val="FF0000"/>
          <w:rtl w:val="1"/>
        </w:rPr>
        <w:t xml:space="preserve">ويَذكُرُ ذلكَ عن النبيِّ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الكتاب والسنة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