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تُنبَش قبور مشركي الجاهلية،ويُتّخذ مكانها مساجد-كتاب الصلاة-صحيح البخاري — رقم الحديث: 427 — الرقم الفرعي: 99 — الرقم الأصلي: 427</w:t>
        <w:br/>
      </w:r>
      <w:r>
        <w:rPr>
          <w:rtl w:val="1"/>
        </w:rPr>
        <w:t xml:space="preserve"> حدثنا محمد بن المثنى قال:حدثنا يحيى عن هشام قال:أخبرني أبي عن عائشة</w:t>
        <w:br/>
      </w:r>
      <w:r>
        <w:rPr>
          <w:color w:val="FF0000"/>
          <w:rtl w:val="1"/>
        </w:rPr>
        <w:t xml:space="preserve">أنَّ أُمَّ حَبيبةَ وأُمَّ سَلَمةَ ذَكَرَتا كَنِيسةً رأينَها بالحَبَشةِ فيها تَصاوِيرُ، فذَكَرَتا للنبيِّ ﷺ،  </w:t>
      </w:r>
      <w:r>
        <w:rPr>
          <w:color w:val="FF0000"/>
          <w:rtl w:val="1"/>
        </w:rPr>
        <w:t xml:space="preserve">فقال: «إنَّ أُولئكَ إذا كان فيهمُ الرَّجلُ الصّالحُ فماتَ، بَنَوْا على قَبْرِه مسجدًا، وصَوَّرُوا فيه تلكَ الصُّوَرَ، فأُولئكَ شِرارُ الخَلْقِ عندَ الله يومَ القِيامةِ». 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بناء المساجد واتخاذ السرج على القبور - القبور</w:t>
      </w:r>
    </w:p>
    <w:p>
      <w:pPr>
        <w:bidi w:val="1"/>
        <w:jc w:val="start"/>
      </w:pPr>
      <w:r>
        <w:rPr>
          <w:rtl w:val="1"/>
        </w:rPr>
        <w:t>الشرح: الدلالة: الهجرة إلى الحبشة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أم حبيبة (رملة بنت أبي سفيان)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النهي عن اتخاذ القبور مساجد - بناء المسجد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