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صيام الدهر،وذكر الاختلاف على مطرف بن عبدالله في الخبر فيه-كتاب الصيام-سنن النسائي — رقم الحديث: 2379 — الرقم الفرعي: 99 — الرقم الأصلي: 2379</w:t>
        <w:br/>
      </w:r>
      <w:r>
        <w:rPr>
          <w:rtl w:val="1"/>
        </w:rPr>
        <w:t xml:space="preserve"> أخبرنا عليّ بن حُجْر قال:أنبأنا إسماعيل عن الجُريريّ عن يزيد بن عبد الله بن الشّخّير عن أخيه مُطرّف عن عمران</w:t>
        <w:br/>
      </w:r>
      <w:r>
        <w:rPr>
          <w:color w:val="FF0000"/>
          <w:rtl w:val="1"/>
        </w:rPr>
        <w:t xml:space="preserve">قال: قيلَ: يا رسولَ اللهِ، إنّ فُلاناً لا يُفطِرُ نهاراً الدّهرَ. قال:  «لا صامَ ولا أفطَرَ».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