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الذين استجابوا لله والرسول-كتاب المغازي-صحيح البخاري — رقم الحديث: 4077 — الرقم الفرعي: 99 — الرقم الأصلي: 4077</w:t>
        <w:br/>
      </w:r>
      <w:r>
        <w:rPr>
          <w:rtl w:val="1"/>
        </w:rPr>
        <w:t xml:space="preserve"> حدثنا محمد حدثنا أبو معاوية عن هشام عن أبيه عن عائشة رضي الله عنها</w:t>
        <w:br/>
      </w:r>
      <w:r>
        <w:rPr>
          <w:color w:val="FF0000"/>
          <w:rtl w:val="1"/>
        </w:rPr>
        <w:t xml:space="preserve">﴿الَّذِينَ اسْتَجَابُوا لِلَّهِ وَالرَّسُولِ مِنْ بَعْدِ مَا أَصَابَهُمُ الْقَرْحُ لِلَّذِينَ أَحْسَنُوا مِنْهُمْ وَاتَّقَوْا أَجْرٌ عَظِيمٌ﴾ [آل عمران:172]  </w:t>
      </w:r>
      <w:r>
        <w:rPr>
          <w:color w:val="FF0000"/>
          <w:rtl w:val="1"/>
        </w:rPr>
        <w:t xml:space="preserve">قالت لعُرْوةَ: يا ابنَ أُختي، كان أبَوَاكَ منهم، الزُّبَيرُ وأبو بكرٍ،  </w:t>
      </w:r>
      <w:r>
        <w:rPr>
          <w:color w:val="FF0000"/>
          <w:rtl w:val="1"/>
        </w:rPr>
        <w:t xml:space="preserve">لمّا أصابَ رسولَ الله ﷺ ما أصابَ يومَ أُحدٍ، وانصَرَفَ عنه المشركونَ، خافَ أنْ يَرجِعُوا، قال: «مَن يَذهَبُ في إثْرِهم؟» فانتَدَبَ منهم سَبْعونَ رجلًا، قال: كان فيهم أبو بكرٍ والزُّبَيرُ. </w:t>
      </w:r>
    </w:p>
    <w:p>
      <w:pPr>
        <w:bidi w:val="1"/>
        <w:jc w:val="start"/>
      </w:pPr>
      <w:r>
        <w:rPr>
          <w:rtl w:val="1"/>
        </w:rPr>
        <w:t>الشرح: الدلالة: القيادة والقدرة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إشاعة الأمل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إظهار الهيبة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الإرهاب والرعب والردع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صيانة المعنويات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إدامة المعنويات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غزوة حمراء الأسد - أحداث السنة الثالثة</w:t>
      </w:r>
    </w:p>
    <w:p>
      <w:pPr>
        <w:bidi w:val="1"/>
        <w:jc w:val="start"/>
      </w:pPr>
      <w:r>
        <w:rPr>
          <w:rtl w:val="1"/>
        </w:rPr>
        <w:t>الشرح: الدلالة: مناقب الزبير بن العوام وذريته.،-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القوات البرية - أنواع القوات العسكرية</w:t>
      </w:r>
    </w:p>
    <w:p>
      <w:pPr>
        <w:bidi w:val="1"/>
        <w:jc w:val="start"/>
      </w:pPr>
      <w:r>
        <w:rPr>
          <w:rtl w:val="1"/>
        </w:rPr>
        <w:t>الشرح: الدلالة: من يتخذ القرار بإعلان النفير - القرار بالنفير</w:t>
      </w:r>
    </w:p>
    <w:p>
      <w:pPr>
        <w:bidi w:val="1"/>
        <w:jc w:val="start"/>
      </w:pPr>
      <w:r>
        <w:rPr>
          <w:rtl w:val="1"/>
        </w:rPr>
        <w:t>الشرح: الدلالة: إظهار الهيبة - أهداف الهجوم</w:t>
      </w:r>
    </w:p>
    <w:p>
      <w:pPr>
        <w:bidi w:val="1"/>
        <w:jc w:val="start"/>
      </w:pPr>
      <w:r>
        <w:rPr>
          <w:rtl w:val="1"/>
        </w:rPr>
        <w:t>الشرح: الدلالة: المفسرون من الصحابة - التفسير والمفسرون من الصحابة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التعبئة المعنوية وأهدافها - أقسام الحرب النفسية</w:t>
      </w:r>
    </w:p>
    <w:p>
      <w:pPr>
        <w:bidi w:val="1"/>
        <w:jc w:val="start"/>
      </w:pPr>
      <w:r>
        <w:rPr>
          <w:rtl w:val="1"/>
        </w:rPr>
        <w:t>الشرح: الدلالة: إظهار الهيبة وعرض  القوى - وسائل الحرب النفسية</w:t>
      </w:r>
    </w:p>
    <w:p>
      <w:pPr>
        <w:bidi w:val="1"/>
        <w:jc w:val="start"/>
      </w:pPr>
      <w:r>
        <w:rPr>
          <w:rtl w:val="1"/>
        </w:rPr>
        <w:t>الشرح: الدلالة: موقف قوات المسلمين النفسي والمادي - عوامل اتخاذ القرار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